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05E5" w:rsidRPr="009505E5" w:rsidRDefault="003402E5" w:rsidP="003402E5">
      <w:pPr>
        <w:spacing w:before="100" w:beforeAutospacing="1" w:after="0" w:line="240" w:lineRule="auto"/>
        <w:jc w:val="center"/>
        <w:rPr>
          <w:rFonts w:ascii="Verdana" w:eastAsia="Times New Roman" w:hAnsi="Verdana" w:cs="Times New Roman"/>
          <w:b/>
          <w:bCs/>
          <w:sz w:val="30"/>
          <w:szCs w:val="30"/>
          <w:lang w:eastAsia="pl-PL"/>
        </w:rPr>
      </w:pPr>
      <w:r w:rsidRPr="003402E5">
        <w:rPr>
          <w:rFonts w:ascii="Verdana" w:eastAsia="Times New Roman" w:hAnsi="Verdana" w:cs="Times New Roman"/>
          <w:b/>
          <w:bCs/>
          <w:sz w:val="30"/>
          <w:szCs w:val="30"/>
          <w:lang w:eastAsia="pl-PL"/>
        </w:rPr>
        <w:t xml:space="preserve">Polityka w zakresie </w:t>
      </w:r>
      <w:r w:rsidR="009505E5" w:rsidRPr="003402E5">
        <w:rPr>
          <w:rFonts w:ascii="Verdana" w:eastAsia="Times New Roman" w:hAnsi="Verdana" w:cs="Times New Roman"/>
          <w:b/>
          <w:bCs/>
          <w:sz w:val="30"/>
          <w:szCs w:val="30"/>
          <w:lang w:eastAsia="pl-PL"/>
        </w:rPr>
        <w:t>etyki wydawniczej</w:t>
      </w:r>
      <w:r w:rsidRPr="003402E5">
        <w:rPr>
          <w:rFonts w:ascii="Verdana" w:eastAsia="Times New Roman" w:hAnsi="Verdana" w:cs="Times New Roman"/>
          <w:b/>
          <w:bCs/>
          <w:sz w:val="30"/>
          <w:szCs w:val="30"/>
          <w:lang w:eastAsia="pl-PL"/>
        </w:rPr>
        <w:t xml:space="preserve"> „Roczników Naukowych Ekonomii Rolnictwa i Rozwoju Obszarów Wiejskich”</w:t>
      </w:r>
    </w:p>
    <w:p w:rsidR="009505E5" w:rsidRPr="001446D7" w:rsidRDefault="009505E5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Publikacja artykułu w recenzowanym czasopiśmie</w:t>
      </w:r>
      <w:r w:rsidR="001446D7"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„Roczniki Naukowe Ekonomii Rolnictwa i Rozwoju Obszarów Wiejskich”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jest odzwierciedleniem jakości pracy autorów i reprezentowanych przez nich instytucji. Ustalenie standardów 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etyki wydawniczej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zgodn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z wytycznymi 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Komitetu do spraw Etyki Publikacyjnej COPE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ang. </w:t>
      </w:r>
      <w:proofErr w:type="spellStart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Committee</w:t>
      </w:r>
      <w:proofErr w:type="spellEnd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on </w:t>
      </w:r>
      <w:proofErr w:type="spellStart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Publication</w:t>
      </w:r>
      <w:proofErr w:type="spellEnd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Ethics</w:t>
      </w:r>
      <w:proofErr w:type="spellEnd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) ma na celu przeciwdziałanie nieuczciwym praktykom publikacyjnym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. Standardy etycznego postępowania dotyczą wszystkich stron zaangażowanych w procesie wydawniczym</w:t>
      </w:r>
      <w:r w:rsidR="001446D7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, w tym w szczególności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autora (-ów), recenzentów, </w:t>
      </w:r>
      <w:r w:rsidR="003A655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redaktorów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378F3" w:rsidRPr="001446D7" w:rsidRDefault="00F378F3" w:rsidP="00AF54EC">
      <w:pPr>
        <w:spacing w:before="120" w:after="120" w:line="24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</w:t>
      </w:r>
      <w:r w:rsidRPr="009505E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bowiąz</w:t>
      </w:r>
      <w:r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ki</w:t>
      </w:r>
      <w:r w:rsidRPr="009505E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</w:t>
      </w:r>
      <w:r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A</w:t>
      </w:r>
      <w:r w:rsidRPr="009505E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utora</w:t>
      </w:r>
      <w:r w:rsidR="003402E5"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/ów</w:t>
      </w:r>
    </w:p>
    <w:p w:rsidR="003A6556" w:rsidRPr="001446D7" w:rsidRDefault="004930F0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ryginalnoś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pracy: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 może zgłaszać do publikacji wyłącznie własne, oryginalne teksty. </w:t>
      </w:r>
      <w:r w:rsidR="00531FEF">
        <w:rPr>
          <w:rFonts w:ascii="Times New Roman" w:eastAsia="Times New Roman" w:hAnsi="Times New Roman" w:cs="Times New Roman"/>
          <w:sz w:val="24"/>
          <w:szCs w:val="24"/>
          <w:lang w:eastAsia="pl-PL"/>
        </w:rPr>
        <w:t>Autorami publikacji mogą być tylko osoby, które wniosły znaczący</w:t>
      </w:r>
      <w:bookmarkStart w:id="0" w:name="_GoBack"/>
      <w:bookmarkEnd w:id="0"/>
      <w:r w:rsidR="00531F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wkład w jej powstanie.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Wykorzystane w publikacji badania i/lub informacje innych naukowców powinny być oznaczone w sposób wskazujący, że jest to cytat. </w:t>
      </w:r>
      <w:r w:rsidR="004A2F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Niedopuszczalna jest jakakolwiek forma plagiatu (przewłaszczenie dorobku, danych, koncepcji itd.) czy </w:t>
      </w:r>
      <w:proofErr w:type="spellStart"/>
      <w:r w:rsidR="004A2F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autoplagiatu</w:t>
      </w:r>
      <w:proofErr w:type="spellEnd"/>
      <w:r w:rsidR="004A2F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(powtórne opublikowanie fragmentów własnych wcześniej opublikowanych prac jako utwory nowe). Także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fałszowanie danych są niedopuszczalne.</w:t>
      </w:r>
      <w:r w:rsidR="004A2F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4930F0" w:rsidRPr="009505E5" w:rsidRDefault="004930F0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zetelnoś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naukow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do rzetelnego</w:t>
      </w:r>
      <w:r w:rsidR="003A655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przejrzystego i uczciwego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opisu wykonanych prac badawczych oraz obiektywnej interpretacji wyników. Prace powinny zawierać informacje umożliwiające identyfikację źródeł danych, a także powtórzenie badań. Niezgodne z zasadami etyki wydawniczej prezentowanie i interpretowanie danych oraz wyni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ków badań jest niedopuszczalne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4930F0" w:rsidRPr="009505E5" w:rsidRDefault="004930F0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zetelnoś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źródeł: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 zobowiązany jest wymienić w bibliografii załącznikowej publikacje, które zostały przez niego wykorzystane przy tworzeniu tekstu.</w:t>
      </w:r>
    </w:p>
    <w:p w:rsidR="004930F0" w:rsidRPr="001446D7" w:rsidRDefault="004930F0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Wkład autorów: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Autorzy zgłaszający do publikacji teksty </w:t>
      </w:r>
      <w:proofErr w:type="spellStart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wieloautorskie</w:t>
      </w:r>
      <w:proofErr w:type="spellEnd"/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mają obowiązek ujawnić wkład poszczególnych autorów w jego powstanie (z podaniem afiliacji autorów oraz informacji kto jest autorem koncepcji, założeń, metod, protokołu itp. wykorzystanych przy tworzeniu tekstu).</w:t>
      </w:r>
    </w:p>
    <w:p w:rsidR="004930F0" w:rsidRPr="009505E5" w:rsidRDefault="004930F0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dostępni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danych: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Autor poproszony o przedstawienie nieprzetworzonych wyników badań wykorzystanych w tekście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jest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zapewnić dostęp do tych danych, także po opublikowaniu pracy.</w:t>
      </w:r>
    </w:p>
    <w:p w:rsidR="004A2FBD" w:rsidRPr="001446D7" w:rsidRDefault="004A2FBD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Podziękowania: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A655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miejscu należy wskazać imiona i n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azwiska i opis r</w:t>
      </w:r>
      <w:r w:rsidR="003A655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ó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l osób, które uczestniczyły w pracach badawczych</w:t>
      </w:r>
      <w:r w:rsidR="003A655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, ale nie mogą być uznane za jej autorów.</w:t>
      </w:r>
    </w:p>
    <w:p w:rsidR="004930F0" w:rsidRPr="001446D7" w:rsidRDefault="004A2FBD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14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H</w:t>
      </w:r>
      <w:r w:rsidR="004930F0" w:rsidRPr="00950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ostwriting</w:t>
      </w:r>
      <w:proofErr w:type="spellEnd"/>
      <w:r w:rsidR="004930F0" w:rsidRPr="00950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proofErr w:type="spellStart"/>
      <w:r w:rsidR="004930F0" w:rsidRPr="00950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guest</w:t>
      </w:r>
      <w:proofErr w:type="spellEnd"/>
      <w:r w:rsidR="004930F0" w:rsidRPr="00950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proofErr w:type="spellStart"/>
      <w:r w:rsidR="004930F0" w:rsidRPr="00950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authorship</w:t>
      </w:r>
      <w:proofErr w:type="spellEnd"/>
      <w:r w:rsidR="004930F0" w:rsidRPr="009505E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są przejawem nierzetelności naukowej i wszelkie wykryte przypadki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będą ujawniane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, łącznie z powiadomieniem odpowiednich podmiotów, takich jak instytucje zatrudniające autora, towarzystwa naukowe, stowarzyszenia edytorów naukowych itp.</w:t>
      </w:r>
    </w:p>
    <w:p w:rsidR="003402E5" w:rsidRPr="009505E5" w:rsidRDefault="003402E5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Konflikt interesów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: Redakcja oczekuje, że autorzy zgłoszą każdy potencjalny konflikt interesów (np. finansowy), który mógłby wpłynąć na wyniki lub ich interpretację.</w:t>
      </w:r>
    </w:p>
    <w:p w:rsidR="00F378F3" w:rsidRPr="001446D7" w:rsidRDefault="00F378F3" w:rsidP="00AF54EC">
      <w:pPr>
        <w:spacing w:before="120" w:after="12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Wymogi dotyczące składania prac</w:t>
      </w:r>
    </w:p>
    <w:p w:rsidR="00F378F3" w:rsidRPr="001446D7" w:rsidRDefault="00F378F3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Zgłaszając pracę do czasopisma autorzy są zobowiązani dołączyć oświadczenie, w którym stwierdzają, że: </w:t>
      </w:r>
    </w:p>
    <w:p w:rsidR="00F378F3" w:rsidRPr="001446D7" w:rsidRDefault="00F378F3" w:rsidP="00AF54EC">
      <w:pPr>
        <w:pStyle w:val="Akapitzlist"/>
        <w:numPr>
          <w:ilvl w:val="0"/>
          <w:numId w:val="6"/>
        </w:numPr>
        <w:spacing w:before="120" w:after="120" w:line="240" w:lineRule="auto"/>
        <w:ind w:left="426" w:hanging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praca nie narusza praw autorskich innych osób,</w:t>
      </w:r>
    </w:p>
    <w:p w:rsidR="004A2FBD" w:rsidRPr="001446D7" w:rsidRDefault="00F378F3" w:rsidP="00AF54E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nie została opublikowana ani przeznaczona do publikacji w innym czasopiśmie</w:t>
      </w:r>
      <w:r w:rsidR="004A2F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(równoległe wysyłanie pracy do więcej niż jednego czasopisma uznaje się za zachowanie nieetyczne),</w:t>
      </w:r>
    </w:p>
    <w:p w:rsidR="003402E5" w:rsidRPr="001446D7" w:rsidRDefault="00F378F3" w:rsidP="00AF54E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złożenia do redakcji elementów graficznych (rysunków, tabel itp.) wcześniej opublikowanych mają zgodę właściciela praw autorskich do ponownego ich wykorzystania</w:t>
      </w:r>
      <w:r w:rsidR="003402E5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F378F3" w:rsidRDefault="003402E5" w:rsidP="00AF54EC">
      <w:pPr>
        <w:pStyle w:val="Akapitzlist"/>
        <w:numPr>
          <w:ilvl w:val="0"/>
          <w:numId w:val="6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nie istnieje żadna umowa ani roszczenie własnościowe, które mogłoby zaszkodzić publikacji zgłoszonej pracy.</w:t>
      </w:r>
    </w:p>
    <w:p w:rsidR="00531FEF" w:rsidRPr="00531FEF" w:rsidRDefault="00531FEF" w:rsidP="00531FEF">
      <w:pPr>
        <w:spacing w:before="120" w:after="120" w:line="240" w:lineRule="auto"/>
        <w:ind w:left="3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31F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Wytyczne dotyczące przygotowania pracy i zgłoszenia do publikacji są dostępne na stronie internetowej czasopisma.</w:t>
      </w:r>
    </w:p>
    <w:p w:rsidR="004930F0" w:rsidRPr="009505E5" w:rsidRDefault="00633567" w:rsidP="00AF54EC">
      <w:pPr>
        <w:spacing w:before="120" w:after="12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</w:t>
      </w:r>
      <w:r w:rsidR="004930F0" w:rsidRPr="009505E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bowiąz</w:t>
      </w:r>
      <w:r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ki</w:t>
      </w:r>
      <w:r w:rsidR="004930F0" w:rsidRPr="009505E5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 xml:space="preserve"> recenzenta</w:t>
      </w:r>
    </w:p>
    <w:p w:rsidR="004930F0" w:rsidRPr="001446D7" w:rsidRDefault="004930F0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Recenzent </w:t>
      </w:r>
      <w:r w:rsidR="002C2E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opracowuje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</w:t>
      </w:r>
      <w:r w:rsidR="002C2E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ję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pracę </w:t>
      </w:r>
      <w:r w:rsidR="003402E5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i w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ten sposób ma wpływ na ostateczny kształt i doskonalenie publikowanej pracy. </w:t>
      </w:r>
    </w:p>
    <w:p w:rsidR="00C14D6B" w:rsidRPr="009505E5" w:rsidRDefault="00C14D6B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oufnoś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Recenzenci są zobowiązani do zachowania poufności wszelkich nieopublikowanych prac i związanych z nimi materiałów.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recenzowane prace oraz ich recenzje mają charakter poufny. Ujawnianie prac jest niedopuszczalne (z wyjątkiem osób, które biorą udział w procesie wydawniczym).</w:t>
      </w:r>
    </w:p>
    <w:p w:rsidR="002C2EBD" w:rsidRPr="001446D7" w:rsidRDefault="00C14D6B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Obie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ktyw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izm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Recenzja powinna mieć charakter obiektywny.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trakcie opiniowania recenzenci są zobowiązani dokładać wszelkich starań, by obiektywnie i rzetelnie ocenić wartość recenzowanej pracy. Komentarze i opinie recenzentów są przekazywane autorowi pracy; powinny być </w:t>
      </w:r>
      <w:r w:rsidR="00277B0C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konstruktywne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bezstronne, jasne i precyzyjne.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Wszystkie uwagi recenzenta powinny zostać odpowiednio uargumentowane.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C2EBD" w:rsidRPr="001446D7" w:rsidRDefault="00C14D6B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recenzent uważa, że nie ma wystarczających kwalifikacji, by ocenić daną pracę, może</w:t>
      </w:r>
      <w:r w:rsidR="002C2EB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zgłosić niemożność wykonania jej recenzji.</w:t>
      </w:r>
    </w:p>
    <w:p w:rsidR="00C14D6B" w:rsidRPr="009505E5" w:rsidRDefault="002C2EBD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Recenzentowi nie wolno wykorzystywać informacji zawartych w przekazanej do recenzji pracy</w:t>
      </w:r>
      <w:r w:rsidR="00E9652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własnych korzyści.</w:t>
      </w:r>
    </w:p>
    <w:p w:rsidR="004930F0" w:rsidRPr="009505E5" w:rsidRDefault="002C2EBD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T</w:t>
      </w:r>
      <w:r w:rsidR="004930F0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erminowoś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="004930F0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Recenzent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wolontariuszem, przed przyjęciem zobowiązania do opracowania recenzji powinien starannie ocenić możliwość jej sporządzenia w wyznaczonym czasie. Redakcja oczekuje złożenia recenzji w terminie do trzech tygodni od momentu podjęcia zadania.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Jeżeli z jakichś </w:t>
      </w:r>
      <w:r w:rsidR="00E9652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powodów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r w:rsidR="00E9652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zobowiązań zawodowych,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braku czasu itp.) </w:t>
      </w:r>
      <w:r w:rsidR="00E9652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recenzent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jest w stanie dotrzymać terminu, powinien </w:t>
      </w:r>
      <w:r w:rsidR="00E9652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tym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niezwłocznie poinformować</w:t>
      </w:r>
      <w:r w:rsidR="00E9652D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E9652D" w:rsidRPr="001446D7" w:rsidRDefault="00E9652D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Oryginalność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: Obowiązkiem recenzenta jest powiadomienie redakcji o zauważonych nadużyciach w stosunku do cudzej własności (niejawne zapożyczenie), ustalonych w trakcie zapoznawania się z recenzowaną pracą.</w:t>
      </w:r>
    </w:p>
    <w:p w:rsidR="00277B0C" w:rsidRPr="001446D7" w:rsidRDefault="00E9652D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</w:t>
      </w:r>
      <w:r w:rsidR="004930F0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zetelnoś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="004930F0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źródeł: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Recenzent, jeśli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zachodzi taka potrzeba, powinien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zidentyfikować i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wskazać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autorowi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odpowiednie prace związane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tematyką tekstu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nieujęte i 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niezacytowane przez autora. Recenzent powinien wskazać i zgłosić wszelkie istotne podobieństwa recenzowanego tekstu do innych prac.</w:t>
      </w:r>
    </w:p>
    <w:p w:rsidR="004930F0" w:rsidRPr="009505E5" w:rsidRDefault="00277B0C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</w:t>
      </w:r>
      <w:r w:rsidR="004930F0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rzeciwdziałani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="004930F0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konfliktowi interesów u recenzenta: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Recenzent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ie powinien oceniać tekstu, w przypadku kiedy może występować konflikt interesów z autorem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kwestii kompetencji, finansów czy współpracy</w:t>
      </w:r>
      <w:r w:rsidR="004930F0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277B0C" w:rsidRPr="001446D7" w:rsidRDefault="00277B0C" w:rsidP="00AF54EC">
      <w:pPr>
        <w:spacing w:before="120" w:after="120" w:line="240" w:lineRule="auto"/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</w:pPr>
      <w:r w:rsidRPr="001446D7">
        <w:rPr>
          <w:rFonts w:ascii="Verdana" w:eastAsia="Times New Roman" w:hAnsi="Verdana" w:cs="Times New Roman"/>
          <w:b/>
          <w:bCs/>
          <w:sz w:val="24"/>
          <w:szCs w:val="24"/>
          <w:lang w:eastAsia="pl-PL"/>
        </w:rPr>
        <w:t>Obowiązki redakcji</w:t>
      </w:r>
    </w:p>
    <w:p w:rsidR="00AE5AB1" w:rsidRPr="001446D7" w:rsidRDefault="00277B0C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>R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zetelnoś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naukow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Redaktor na</w:t>
      </w:r>
      <w:r w:rsidR="00EB7D03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czelny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dba o rzetelność naukową publikowanych prac. Dla jej zachowania może nanosić stosowne zmiany i poprawki. W przypadku podejrzeń o nieuczciwe praktyki (plagiat, fałszowanie wyników badań) </w:t>
      </w:r>
      <w:r w:rsidR="003062AA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redaktor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zobowiązany jest podjąć decyzję o wycofaniu tekstu z publikacji.</w:t>
      </w:r>
      <w:r w:rsidR="00EB7D03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062AA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Także o</w:t>
      </w:r>
      <w:r w:rsidR="00EB7D03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stateczna decyzja o przekazaniu pracy do recenzji, a następnie opublikowani</w:t>
      </w:r>
      <w:r w:rsidR="003062AA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EB7D03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należy do redaktora naczelnego. </w:t>
      </w:r>
      <w:r w:rsidR="00AE5AB1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Po stwierdzeniu przez redaktora naczelnego i/lub redaktorów działów</w:t>
      </w:r>
      <w:r w:rsidR="003062AA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, ze praca kwalifikuje się do etapu recenzji,</w:t>
      </w:r>
      <w:r w:rsidR="00AE5AB1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stosowany jest model podwójnie ślepej recenzji (ang. d</w:t>
      </w:r>
      <w:r w:rsidR="00AE5AB1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ouble </w:t>
      </w:r>
      <w:proofErr w:type="spellStart"/>
      <w:r w:rsidR="00AE5AB1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blind</w:t>
      </w:r>
      <w:proofErr w:type="spellEnd"/>
      <w:r w:rsidR="00AE5AB1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proofErr w:type="spellStart"/>
      <w:r w:rsidR="00AE5AB1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review</w:t>
      </w:r>
      <w:proofErr w:type="spellEnd"/>
      <w:r w:rsidR="00AE5AB1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), czyli autorom nie są ujawniane nazwiska recenzentów i odwrotnie – recenzenci nie znają tożsamości autorów i pozostałych recenzentów. Decyzja</w:t>
      </w:r>
      <w:r w:rsidR="003062AA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 wyznaczeniu recenzentów</w:t>
      </w:r>
      <w:r w:rsidR="00AE5AB1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jest podejmowana na podstawie treści pracy, analizy wiarygodności wyników i braku wątpliwości dotyczących naruszenia praw autorskich. </w:t>
      </w:r>
    </w:p>
    <w:p w:rsidR="003062AA" w:rsidRPr="001446D7" w:rsidRDefault="00AE5AB1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Zasada fair play: </w:t>
      </w:r>
      <w:r w:rsidR="001A5068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Na ocenę</w:t>
      </w:r>
      <w:r w:rsidR="003062AA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redaktora naczelnego i redaktorów działowych</w:t>
      </w:r>
      <w:r w:rsidR="001A5068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zgłaszanych do publikacji</w:t>
      </w:r>
      <w:r w:rsidR="003062AA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prac</w:t>
      </w:r>
      <w:r w:rsidR="001A5068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  <w:r w:rsidR="00B957B6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żaden sposób </w:t>
      </w:r>
      <w:r w:rsidR="001A5068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nie m</w:t>
      </w:r>
      <w:r w:rsidR="003062AA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ają</w:t>
      </w:r>
      <w:r w:rsidR="001A5068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wpływu rasa, płeć, orientacja seksualna, wiara, pochodzenie, narodowość, ani przekonania polityczne</w:t>
      </w:r>
      <w:r w:rsidR="003062AA" w:rsidRPr="001446D7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autora pracy.</w:t>
      </w:r>
    </w:p>
    <w:p w:rsidR="00B957B6" w:rsidRPr="009505E5" w:rsidRDefault="00277B0C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Kryteria przyjmowania tekstów do publikacji: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Redaktor naukowy decyduje, które </w:t>
      </w:r>
      <w:r w:rsidR="00AE5AB1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prace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zostaną opublikowane. Przy przyjmowaniu tekstów do publikacji </w:t>
      </w:r>
      <w:r w:rsidR="00AE5AB1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uwzględniane są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: wartość naukowa pracy</w:t>
      </w:r>
      <w:r w:rsidR="00B957B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dokonana na podstawie </w:t>
      </w:r>
      <w:r w:rsidR="00B957B6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opini</w:t>
      </w:r>
      <w:r w:rsidR="00B957B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B957B6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recenzentów</w:t>
      </w:r>
      <w:r w:rsidR="00B957B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B957B6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oryginalność ujęcia problemu, przejrzystość wywodu.</w:t>
      </w:r>
      <w:r w:rsidR="00B957B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7B6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Teksty oceniane są wyłącznie </w:t>
      </w:r>
      <w:r w:rsidR="00B957B6" w:rsidRPr="009505E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pod</w:t>
      </w:r>
      <w:r w:rsidR="00B957B6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względem merytorycznym.</w:t>
      </w:r>
    </w:p>
    <w:p w:rsidR="00277B0C" w:rsidRPr="009505E5" w:rsidRDefault="00277B0C" w:rsidP="00AF54EC">
      <w:p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Wycofanie tekstu: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Redaktor naukowy ma prawo wycofać tekst z publikacji, jeżeli: </w:t>
      </w:r>
    </w:p>
    <w:p w:rsidR="00277B0C" w:rsidRPr="009505E5" w:rsidRDefault="00277B0C" w:rsidP="00AF54EC">
      <w:pPr>
        <w:numPr>
          <w:ilvl w:val="0"/>
          <w:numId w:val="2"/>
        </w:num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istnieją dowody świadczące o braku wiarygodności wyników badań i/lub fałszowaniu danych, jak również w przypadku popełnienia niezamierzonych błędów (np. błędy w obliczeniach, błędy metod</w:t>
      </w:r>
      <w:r w:rsidR="003062AA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yczne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277B0C" w:rsidRPr="001446D7" w:rsidRDefault="00277B0C" w:rsidP="00AF54EC">
      <w:pPr>
        <w:numPr>
          <w:ilvl w:val="0"/>
          <w:numId w:val="2"/>
        </w:numPr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praca nosi znamiona plagiatu bądź narusza zasady etyki wydawniczej.</w:t>
      </w:r>
    </w:p>
    <w:p w:rsidR="003062AA" w:rsidRPr="009505E5" w:rsidRDefault="003062AA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41F82">
        <w:rPr>
          <w:rFonts w:ascii="Times New Roman" w:eastAsia="Times New Roman" w:hAnsi="Times New Roman" w:cs="Times New Roman"/>
          <w:sz w:val="24"/>
          <w:szCs w:val="24"/>
          <w:lang w:eastAsia="pl-PL"/>
        </w:rPr>
        <w:t>Redakcja wyraża gotowość opublikowania korekt, wyjaśnień, przeprosin, jak również wycofania publikacji w przypadku stwierdzenia naruszenia praw autorskich, zniesławienia lub plagiatu.</w:t>
      </w:r>
    </w:p>
    <w:p w:rsidR="009505E5" w:rsidRPr="009505E5" w:rsidRDefault="009505E5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Kontrolowanie standardów etycznych: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B957B6"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Redakcja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czuwa nad przestrzeganiem obowiązujących standardów wydawniczych i zasad etyki wydawniczej oraz zapobiega praktykom niezgodnym z przyjętymi standardami.</w:t>
      </w:r>
    </w:p>
    <w:p w:rsidR="009505E5" w:rsidRPr="009505E5" w:rsidRDefault="00B957B6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</w:t>
      </w:r>
      <w:r w:rsidR="009505E5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oufnoś</w:t>
      </w:r>
      <w:r w:rsidRPr="001446D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ć</w:t>
      </w:r>
      <w:r w:rsidR="009505E5"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9505E5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Redakcja</w:t>
      </w:r>
      <w:r w:rsidR="009505E5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ujawnia osobom nieupoważnionym żadnych informacji na temat zgłaszanych do publikacji prac. Osobami upoważnionymi do p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rzetwarzania </w:t>
      </w:r>
      <w:r w:rsidR="009505E5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informacji są: autor, wyznaczeni recenzenci, redaktorzy oraz 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pozostałe </w:t>
      </w:r>
      <w:r w:rsidR="009505E5"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uczestniczące w procesie wydawniczym.</w:t>
      </w:r>
    </w:p>
    <w:p w:rsidR="009505E5" w:rsidRPr="009505E5" w:rsidRDefault="009505E5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505E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Przeciwdziałanie konfliktom interesów:</w:t>
      </w:r>
      <w:r w:rsidRPr="009505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Nieopublikowane teksty nie mogą być bez pisemnej zgody autorów wykorzystywane przez pracowników wydawnictwa ani żadne inne osoby uczestniczące w procesie wydawniczym.</w:t>
      </w:r>
    </w:p>
    <w:p w:rsidR="00B957B6" w:rsidRPr="001446D7" w:rsidRDefault="00B957B6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Droga odwoławcza</w:t>
      </w: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: Jeśli autor postanowi odwołać się od decyzji o nieopublikowaniu jego artykułu, ostateczna decyzja w tej sprawie należy do redaktora naczelnego. Redaktor naczelny może, po skonsultowaniu się z redaktorami działów i recenzentami oceniającymi daną pracę, zmienić początkowa decyzje o nieopublikowaniu.</w:t>
      </w:r>
    </w:p>
    <w:p w:rsidR="008D3F26" w:rsidRPr="001446D7" w:rsidRDefault="004930F0" w:rsidP="00AF54EC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446D7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akceptacją do wydania, publikacje zgłoszone do wydawnictwa są weryfikowane pod kątem zgodności z zasadami etyki wydawniczej, rzetelności i wartości naukowej.</w:t>
      </w:r>
    </w:p>
    <w:sectPr w:rsidR="008D3F26" w:rsidRPr="001446D7" w:rsidSect="007318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4477" w:rsidRDefault="00FA4477" w:rsidP="00E9652D">
      <w:pPr>
        <w:spacing w:after="0" w:line="240" w:lineRule="auto"/>
      </w:pPr>
      <w:r>
        <w:separator/>
      </w:r>
    </w:p>
  </w:endnote>
  <w:endnote w:type="continuationSeparator" w:id="0">
    <w:p w:rsidR="00FA4477" w:rsidRDefault="00FA4477" w:rsidP="00E965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4477" w:rsidRDefault="00FA4477" w:rsidP="00E9652D">
      <w:pPr>
        <w:spacing w:after="0" w:line="240" w:lineRule="auto"/>
      </w:pPr>
      <w:r>
        <w:separator/>
      </w:r>
    </w:p>
  </w:footnote>
  <w:footnote w:type="continuationSeparator" w:id="0">
    <w:p w:rsidR="00FA4477" w:rsidRDefault="00FA4477" w:rsidP="00E965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B54CC"/>
    <w:multiLevelType w:val="multilevel"/>
    <w:tmpl w:val="969A2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ED744F"/>
    <w:multiLevelType w:val="multilevel"/>
    <w:tmpl w:val="7DDE0A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59C63B51"/>
    <w:multiLevelType w:val="multilevel"/>
    <w:tmpl w:val="96C826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5BCC75EF"/>
    <w:multiLevelType w:val="multilevel"/>
    <w:tmpl w:val="55BEB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06D785E"/>
    <w:multiLevelType w:val="hybridMultilevel"/>
    <w:tmpl w:val="EE84C9F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8A06A24"/>
    <w:multiLevelType w:val="hybridMultilevel"/>
    <w:tmpl w:val="5F580AA2"/>
    <w:lvl w:ilvl="0" w:tplc="04150011">
      <w:start w:val="1"/>
      <w:numFmt w:val="decimal"/>
      <w:lvlText w:val="%1)"/>
      <w:lvlJc w:val="left"/>
      <w:pPr>
        <w:ind w:left="3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3" w:hanging="360"/>
      </w:pPr>
    </w:lvl>
    <w:lvl w:ilvl="2" w:tplc="0415001B" w:tentative="1">
      <w:start w:val="1"/>
      <w:numFmt w:val="lowerRoman"/>
      <w:lvlText w:val="%3."/>
      <w:lvlJc w:val="right"/>
      <w:pPr>
        <w:ind w:left="1803" w:hanging="180"/>
      </w:pPr>
    </w:lvl>
    <w:lvl w:ilvl="3" w:tplc="0415000F" w:tentative="1">
      <w:start w:val="1"/>
      <w:numFmt w:val="decimal"/>
      <w:lvlText w:val="%4."/>
      <w:lvlJc w:val="left"/>
      <w:pPr>
        <w:ind w:left="2523" w:hanging="360"/>
      </w:pPr>
    </w:lvl>
    <w:lvl w:ilvl="4" w:tplc="04150019" w:tentative="1">
      <w:start w:val="1"/>
      <w:numFmt w:val="lowerLetter"/>
      <w:lvlText w:val="%5."/>
      <w:lvlJc w:val="left"/>
      <w:pPr>
        <w:ind w:left="3243" w:hanging="360"/>
      </w:pPr>
    </w:lvl>
    <w:lvl w:ilvl="5" w:tplc="0415001B" w:tentative="1">
      <w:start w:val="1"/>
      <w:numFmt w:val="lowerRoman"/>
      <w:lvlText w:val="%6."/>
      <w:lvlJc w:val="right"/>
      <w:pPr>
        <w:ind w:left="3963" w:hanging="180"/>
      </w:pPr>
    </w:lvl>
    <w:lvl w:ilvl="6" w:tplc="0415000F" w:tentative="1">
      <w:start w:val="1"/>
      <w:numFmt w:val="decimal"/>
      <w:lvlText w:val="%7."/>
      <w:lvlJc w:val="left"/>
      <w:pPr>
        <w:ind w:left="4683" w:hanging="360"/>
      </w:pPr>
    </w:lvl>
    <w:lvl w:ilvl="7" w:tplc="04150019" w:tentative="1">
      <w:start w:val="1"/>
      <w:numFmt w:val="lowerLetter"/>
      <w:lvlText w:val="%8."/>
      <w:lvlJc w:val="left"/>
      <w:pPr>
        <w:ind w:left="5403" w:hanging="360"/>
      </w:pPr>
    </w:lvl>
    <w:lvl w:ilvl="8" w:tplc="0415001B" w:tentative="1">
      <w:start w:val="1"/>
      <w:numFmt w:val="lowerRoman"/>
      <w:lvlText w:val="%9."/>
      <w:lvlJc w:val="right"/>
      <w:pPr>
        <w:ind w:left="6123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505E5"/>
    <w:rsid w:val="00110623"/>
    <w:rsid w:val="001446D7"/>
    <w:rsid w:val="001A5068"/>
    <w:rsid w:val="00277B0C"/>
    <w:rsid w:val="002C2EBD"/>
    <w:rsid w:val="003062AA"/>
    <w:rsid w:val="003402E5"/>
    <w:rsid w:val="003A6556"/>
    <w:rsid w:val="003C3EFA"/>
    <w:rsid w:val="004930F0"/>
    <w:rsid w:val="004A2FBD"/>
    <w:rsid w:val="00531FEF"/>
    <w:rsid w:val="00633567"/>
    <w:rsid w:val="007318DD"/>
    <w:rsid w:val="00741F82"/>
    <w:rsid w:val="008D3F26"/>
    <w:rsid w:val="009505E5"/>
    <w:rsid w:val="00AE5AB1"/>
    <w:rsid w:val="00AF54EC"/>
    <w:rsid w:val="00B957B6"/>
    <w:rsid w:val="00C14D6B"/>
    <w:rsid w:val="00D2415D"/>
    <w:rsid w:val="00E9652D"/>
    <w:rsid w:val="00EB7D03"/>
    <w:rsid w:val="00F378F3"/>
    <w:rsid w:val="00F64EE5"/>
    <w:rsid w:val="00F80F81"/>
    <w:rsid w:val="00FA44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318D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0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78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52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5A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50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9505E5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378F3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9652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9652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9652D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E5AB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6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1284</Words>
  <Characters>7705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 k</cp:lastModifiedBy>
  <cp:revision>3</cp:revision>
  <dcterms:created xsi:type="dcterms:W3CDTF">2018-10-12T12:46:00Z</dcterms:created>
  <dcterms:modified xsi:type="dcterms:W3CDTF">2018-10-12T12:47:00Z</dcterms:modified>
</cp:coreProperties>
</file>